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color w:val="000000" w:themeColor="text1"/>
          <w:sz w:val="32"/>
          <w:szCs w:val="32"/>
          <w14:textFill>
            <w14:solidFill>
              <w14:schemeClr w14:val="tx1"/>
            </w14:solidFill>
          </w14:textFill>
        </w:rPr>
      </w:pPr>
      <w:bookmarkStart w:id="0" w:name="_GoBack"/>
      <w:bookmarkEnd w:id="0"/>
      <w:r>
        <w:rPr>
          <w:rFonts w:hint="eastAsia" w:ascii="仿宋" w:hAnsi="仿宋" w:eastAsia="仿宋"/>
          <w:color w:val="000000" w:themeColor="text1"/>
          <w:sz w:val="32"/>
          <w:szCs w:val="32"/>
          <w14:textFill>
            <w14:solidFill>
              <w14:schemeClr w14:val="tx1"/>
            </w14:solidFill>
          </w14:textFill>
        </w:rPr>
        <w:t>附件2</w:t>
      </w:r>
    </w:p>
    <w:p>
      <w:pPr>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吉林省工作任务</w:t>
      </w:r>
      <w:r>
        <w:rPr>
          <w:rFonts w:asciiTheme="majorEastAsia" w:hAnsiTheme="majorEastAsia" w:eastAsiaTheme="majorEastAsia"/>
          <w:b/>
          <w:color w:val="000000" w:themeColor="text1"/>
          <w:sz w:val="44"/>
          <w:szCs w:val="44"/>
          <w14:textFill>
            <w14:solidFill>
              <w14:schemeClr w14:val="tx1"/>
            </w14:solidFill>
          </w14:textFill>
        </w:rPr>
        <w:t>清单</w:t>
      </w:r>
    </w:p>
    <w:tbl>
      <w:tblPr>
        <w:tblStyle w:val="6"/>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694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jc w:val="center"/>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序号</w:t>
            </w:r>
          </w:p>
        </w:tc>
        <w:tc>
          <w:tcPr>
            <w:tcW w:w="6945" w:type="dxa"/>
            <w:vAlign w:val="center"/>
          </w:tcPr>
          <w:p>
            <w:pPr>
              <w:jc w:val="center"/>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工作任务</w:t>
            </w:r>
          </w:p>
        </w:tc>
        <w:tc>
          <w:tcPr>
            <w:tcW w:w="2410" w:type="dxa"/>
            <w:vAlign w:val="center"/>
          </w:tcPr>
          <w:p>
            <w:pPr>
              <w:jc w:val="center"/>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选树20个</w:t>
            </w:r>
            <w:r>
              <w:rPr>
                <w:rFonts w:ascii="仿宋" w:hAnsi="仿宋" w:eastAsia="仿宋"/>
                <w:color w:val="000000" w:themeColor="text1"/>
                <w:sz w:val="24"/>
                <w:szCs w:val="24"/>
                <w14:textFill>
                  <w14:solidFill>
                    <w14:schemeClr w14:val="tx1"/>
                  </w14:solidFill>
                </w14:textFill>
              </w:rPr>
              <w:t>省级“</w:t>
            </w:r>
            <w:r>
              <w:rPr>
                <w:rFonts w:hint="eastAsia" w:ascii="仿宋" w:hAnsi="仿宋" w:eastAsia="仿宋"/>
                <w:color w:val="000000" w:themeColor="text1"/>
                <w:sz w:val="24"/>
                <w:szCs w:val="24"/>
                <w14:textFill>
                  <w14:solidFill>
                    <w14:schemeClr w14:val="tx1"/>
                  </w14:solidFill>
                </w14:textFill>
              </w:rPr>
              <w:t>三</w:t>
            </w:r>
            <w:r>
              <w:rPr>
                <w:rFonts w:ascii="仿宋" w:hAnsi="仿宋" w:eastAsia="仿宋"/>
                <w:color w:val="000000" w:themeColor="text1"/>
                <w:sz w:val="24"/>
                <w:szCs w:val="24"/>
                <w14:textFill>
                  <w14:solidFill>
                    <w14:schemeClr w14:val="tx1"/>
                  </w14:solidFill>
                </w14:textFill>
              </w:rPr>
              <w:t>全育人”</w:t>
            </w:r>
            <w:r>
              <w:rPr>
                <w:rFonts w:hint="eastAsia" w:ascii="仿宋" w:hAnsi="仿宋" w:eastAsia="仿宋"/>
                <w:color w:val="000000" w:themeColor="text1"/>
                <w:sz w:val="24"/>
                <w:szCs w:val="24"/>
                <w14:textFill>
                  <w14:solidFill>
                    <w14:schemeClr w14:val="tx1"/>
                  </w14:solidFill>
                </w14:textFill>
              </w:rPr>
              <w:t>典型</w:t>
            </w:r>
            <w:r>
              <w:rPr>
                <w:rFonts w:ascii="仿宋" w:hAnsi="仿宋" w:eastAsia="仿宋"/>
                <w:color w:val="000000" w:themeColor="text1"/>
                <w:sz w:val="24"/>
                <w:szCs w:val="24"/>
                <w14:textFill>
                  <w14:solidFill>
                    <w14:schemeClr w14:val="tx1"/>
                  </w14:solidFill>
                </w14:textFill>
              </w:rPr>
              <w:t>学校</w:t>
            </w:r>
            <w:r>
              <w:rPr>
                <w:rFonts w:hint="eastAsia" w:ascii="仿宋" w:hAnsi="仿宋" w:eastAsia="仿宋"/>
                <w:color w:val="000000" w:themeColor="text1"/>
                <w:sz w:val="24"/>
                <w:szCs w:val="24"/>
                <w14:textFill>
                  <w14:solidFill>
                    <w14:schemeClr w14:val="tx1"/>
                  </w14:solidFill>
                </w14:textFill>
              </w:rPr>
              <w:t>、100门</w:t>
            </w:r>
            <w:r>
              <w:rPr>
                <w:rFonts w:ascii="仿宋" w:hAnsi="仿宋" w:eastAsia="仿宋"/>
                <w:color w:val="000000" w:themeColor="text1"/>
                <w:sz w:val="24"/>
                <w:szCs w:val="24"/>
                <w14:textFill>
                  <w14:solidFill>
                    <w14:schemeClr w14:val="tx1"/>
                  </w14:solidFill>
                </w14:textFill>
              </w:rPr>
              <w:t>课程思政示范课程。</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开设吉林工匠大讲堂，“劳模（工匠）进校园”等活动，定期邀请劳动模范、技能大师、能工巧匠到职业院校开展讲座。</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省总工会、有关院校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中国一汽集团和职业院校共建“红旗工匠”教育基地，开发一批传播红旗工匠文化的系列课程和教材。</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优化资源配置，中等职业学校（含</w:t>
            </w:r>
            <w:r>
              <w:rPr>
                <w:rFonts w:ascii="仿宋" w:hAnsi="仿宋" w:eastAsia="仿宋"/>
                <w:color w:val="000000" w:themeColor="text1"/>
                <w:sz w:val="24"/>
                <w:szCs w:val="24"/>
                <w14:textFill>
                  <w14:solidFill>
                    <w14:schemeClr w14:val="tx1"/>
                  </w14:solidFill>
                </w14:textFill>
              </w:rPr>
              <w:t>技工学校</w:t>
            </w:r>
            <w:r>
              <w:rPr>
                <w:rFonts w:hint="eastAsia" w:ascii="仿宋" w:hAnsi="仿宋" w:eastAsia="仿宋"/>
                <w:color w:val="000000" w:themeColor="text1"/>
                <w:sz w:val="24"/>
                <w:szCs w:val="24"/>
                <w14:textFill>
                  <w14:solidFill>
                    <w14:schemeClr w14:val="tx1"/>
                  </w14:solidFill>
                </w14:textFill>
              </w:rPr>
              <w:t>）整合至150所左右。</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各级地方政府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在优质中等职业学校开展五年一贯制人才培养试点。</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建立职业技术技能大赛奖励机制，为在世界、国家和省级各类职业技能竞赛中取得优异成绩的青年学生提供奖励。</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依托优质职业学校设立面向普通中小学的职业见习、技能实践基地。探索发展以培养专项技能为主的特色综合高中。</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省教育厅、各级地方政府</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开展中等职业学校与普通高中、高等职业学校与应用型大学课程互选、学分互认、资源共享试点。</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省教育厅、各级地方政府、有关院校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鼓励职业院校开展补贴性培训和市场化社会培训，允许将一定比例的培训收入纳入学校公用经费，学校培训工作量可按一定比例折算成全日制学生培养工作量，优质职业院校年培训人次达到在校生规模的2倍以上。</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w:t>
            </w:r>
            <w:r>
              <w:rPr>
                <w:rFonts w:hint="eastAsia" w:ascii="仿宋" w:hAnsi="仿宋" w:eastAsia="仿宋"/>
                <w:color w:val="000000" w:themeColor="text1"/>
                <w:sz w:val="24"/>
                <w:szCs w:val="24"/>
                <w:lang w:eastAsia="zh-CN"/>
                <w14:textFill>
                  <w14:solidFill>
                    <w14:schemeClr w14:val="tx1"/>
                  </w14:solidFill>
                </w14:textFill>
              </w:rPr>
              <w:t>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0</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落实中等职业学校设置标准和评估制度，推动各地将政府投入的职业教育资源统一纳入中等职业学校调配使用，提高办学效益，3</w:t>
            </w:r>
            <w:r>
              <w:rPr>
                <w:rFonts w:ascii="仿宋" w:hAnsi="仿宋" w:eastAsia="仿宋"/>
                <w:color w:val="000000" w:themeColor="text1"/>
                <w:sz w:val="24"/>
                <w:szCs w:val="24"/>
                <w14:textFill>
                  <w14:solidFill>
                    <w14:schemeClr w14:val="tx1"/>
                  </w14:solidFill>
                </w14:textFill>
              </w:rPr>
              <w:t>年内</w:t>
            </w:r>
            <w:r>
              <w:rPr>
                <w:rFonts w:hint="eastAsia" w:ascii="仿宋" w:hAnsi="仿宋" w:eastAsia="仿宋"/>
                <w:color w:val="000000" w:themeColor="text1"/>
                <w:sz w:val="24"/>
                <w:szCs w:val="24"/>
                <w14:textFill>
                  <w14:solidFill>
                    <w14:schemeClr w14:val="tx1"/>
                  </w14:solidFill>
                </w14:textFill>
              </w:rPr>
              <w:t>全部</w:t>
            </w:r>
            <w:r>
              <w:rPr>
                <w:rFonts w:ascii="仿宋" w:hAnsi="仿宋" w:eastAsia="仿宋"/>
                <w:color w:val="000000" w:themeColor="text1"/>
                <w:sz w:val="24"/>
                <w:szCs w:val="24"/>
                <w14:textFill>
                  <w14:solidFill>
                    <w14:schemeClr w14:val="tx1"/>
                  </w14:solidFill>
                </w14:textFill>
              </w:rPr>
              <w:t>职业院校办学</w:t>
            </w:r>
            <w:r>
              <w:rPr>
                <w:rFonts w:hint="eastAsia" w:ascii="仿宋" w:hAnsi="仿宋" w:eastAsia="仿宋"/>
                <w:color w:val="000000" w:themeColor="text1"/>
                <w:sz w:val="24"/>
                <w:szCs w:val="24"/>
                <w14:textFill>
                  <w14:solidFill>
                    <w14:schemeClr w14:val="tx1"/>
                  </w14:solidFill>
                </w14:textFill>
              </w:rPr>
              <w:t>条件基本达标。</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省教育厅、各级地方政府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1</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推动县域强化政府统筹，每个县（市）办好1所职教中心，全面改善办学条件。</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财政厅、各级地方政府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2</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建设5</w:t>
            </w:r>
            <w:r>
              <w:rPr>
                <w:rFonts w:ascii="仿宋" w:hAnsi="仿宋" w:eastAsia="仿宋"/>
                <w:color w:val="000000" w:themeColor="text1"/>
                <w:sz w:val="24"/>
                <w:szCs w:val="24"/>
                <w14:textFill>
                  <w14:solidFill>
                    <w14:schemeClr w14:val="tx1"/>
                  </w14:solidFill>
                </w14:textFill>
              </w:rPr>
              <w:t>0个</w:t>
            </w:r>
            <w:r>
              <w:rPr>
                <w:rFonts w:hint="eastAsia" w:ascii="仿宋" w:hAnsi="仿宋" w:eastAsia="仿宋"/>
                <w:color w:val="000000" w:themeColor="text1"/>
                <w:sz w:val="24"/>
                <w:szCs w:val="24"/>
                <w14:textFill>
                  <w14:solidFill>
                    <w14:schemeClr w14:val="tx1"/>
                  </w14:solidFill>
                </w14:textFill>
              </w:rPr>
              <w:t>集实践教学和真实生产于一体的高水平实习实训基地、5</w:t>
            </w:r>
            <w:r>
              <w:rPr>
                <w:rFonts w:ascii="仿宋" w:hAnsi="仿宋" w:eastAsia="仿宋"/>
                <w:color w:val="000000" w:themeColor="text1"/>
                <w:sz w:val="24"/>
                <w:szCs w:val="24"/>
                <w14:textFill>
                  <w14:solidFill>
                    <w14:schemeClr w14:val="tx1"/>
                  </w14:solidFill>
                </w14:textFill>
              </w:rPr>
              <w:t>0个</w:t>
            </w:r>
            <w:r>
              <w:rPr>
                <w:rFonts w:hint="eastAsia" w:ascii="仿宋" w:hAnsi="仿宋" w:eastAsia="仿宋"/>
                <w:color w:val="000000" w:themeColor="text1"/>
                <w:sz w:val="24"/>
                <w:szCs w:val="24"/>
                <w14:textFill>
                  <w14:solidFill>
                    <w14:schemeClr w14:val="tx1"/>
                  </w14:solidFill>
                </w14:textFill>
              </w:rPr>
              <w:t>面向技能人才紧缺领域的高水平专业化实习实训基地和</w:t>
            </w:r>
            <w:r>
              <w:rPr>
                <w:rFonts w:ascii="仿宋" w:hAnsi="仿宋" w:eastAsia="仿宋"/>
                <w:color w:val="000000" w:themeColor="text1"/>
                <w:sz w:val="24"/>
                <w:szCs w:val="24"/>
                <w14:textFill>
                  <w14:solidFill>
                    <w14:schemeClr w14:val="tx1"/>
                  </w14:solidFill>
                </w14:textFill>
              </w:rPr>
              <w:t>100个</w:t>
            </w:r>
            <w:r>
              <w:rPr>
                <w:rFonts w:hint="eastAsia" w:ascii="仿宋" w:hAnsi="仿宋" w:eastAsia="仿宋"/>
                <w:color w:val="000000" w:themeColor="text1"/>
                <w:sz w:val="24"/>
                <w:szCs w:val="24"/>
                <w14:textFill>
                  <w14:solidFill>
                    <w14:schemeClr w14:val="tx1"/>
                  </w14:solidFill>
                </w14:textFill>
              </w:rPr>
              <w:t>高水平校内实训基地。</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省工业与信息化</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3</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建设2</w:t>
            </w:r>
            <w:r>
              <w:rPr>
                <w:rFonts w:ascii="仿宋" w:hAnsi="仿宋" w:eastAsia="仿宋"/>
                <w:color w:val="000000" w:themeColor="text1"/>
                <w:sz w:val="24"/>
                <w:szCs w:val="24"/>
                <w14:textFill>
                  <w14:solidFill>
                    <w14:schemeClr w14:val="tx1"/>
                  </w14:solidFill>
                </w14:textFill>
              </w:rPr>
              <w:t>0个</w:t>
            </w:r>
            <w:r>
              <w:rPr>
                <w:rFonts w:hint="eastAsia" w:ascii="仿宋" w:hAnsi="仿宋" w:eastAsia="仿宋"/>
                <w:color w:val="000000" w:themeColor="text1"/>
                <w:sz w:val="24"/>
                <w:szCs w:val="24"/>
                <w14:textFill>
                  <w14:solidFill>
                    <w14:schemeClr w14:val="tx1"/>
                  </w14:solidFill>
                </w14:textFill>
              </w:rPr>
              <w:t>信息化标杆院校、5</w:t>
            </w:r>
            <w:r>
              <w:rPr>
                <w:rFonts w:ascii="仿宋" w:hAnsi="仿宋" w:eastAsia="仿宋"/>
                <w:color w:val="000000" w:themeColor="text1"/>
                <w:sz w:val="24"/>
                <w:szCs w:val="24"/>
                <w14:textFill>
                  <w14:solidFill>
                    <w14:schemeClr w14:val="tx1"/>
                  </w14:solidFill>
                </w14:textFill>
              </w:rPr>
              <w:t>0个</w:t>
            </w:r>
            <w:r>
              <w:rPr>
                <w:rFonts w:hint="eastAsia" w:ascii="仿宋" w:hAnsi="仿宋" w:eastAsia="仿宋"/>
                <w:color w:val="000000" w:themeColor="text1"/>
                <w:sz w:val="24"/>
                <w:szCs w:val="24"/>
                <w14:textFill>
                  <w14:solidFill>
                    <w14:schemeClr w14:val="tx1"/>
                  </w14:solidFill>
                </w14:textFill>
              </w:rPr>
              <w:t>标杆虚拟仿真实训基地和2</w:t>
            </w:r>
            <w:r>
              <w:rPr>
                <w:rFonts w:ascii="仿宋" w:hAnsi="仿宋" w:eastAsia="仿宋"/>
                <w:color w:val="000000" w:themeColor="text1"/>
                <w:sz w:val="24"/>
                <w:szCs w:val="24"/>
                <w14:textFill>
                  <w14:solidFill>
                    <w14:schemeClr w14:val="tx1"/>
                  </w14:solidFill>
                </w14:textFill>
              </w:rPr>
              <w:t>00个标杆</w:t>
            </w:r>
            <w:r>
              <w:rPr>
                <w:rFonts w:hint="eastAsia" w:ascii="仿宋" w:hAnsi="仿宋" w:eastAsia="仿宋"/>
                <w:color w:val="000000" w:themeColor="text1"/>
                <w:sz w:val="24"/>
                <w:szCs w:val="24"/>
                <w14:textFill>
                  <w14:solidFill>
                    <w14:schemeClr w14:val="tx1"/>
                  </w14:solidFill>
                </w14:textFill>
              </w:rPr>
              <w:t>智慧</w:t>
            </w:r>
            <w:r>
              <w:rPr>
                <w:rFonts w:ascii="仿宋" w:hAnsi="仿宋" w:eastAsia="仿宋"/>
                <w:color w:val="000000" w:themeColor="text1"/>
                <w:sz w:val="24"/>
                <w:szCs w:val="24"/>
                <w14:textFill>
                  <w14:solidFill>
                    <w14:schemeClr w14:val="tx1"/>
                  </w14:solidFill>
                </w14:textFill>
              </w:rPr>
              <w:t>课堂</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智慧车间</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智慧图书馆</w:t>
            </w:r>
            <w:r>
              <w:rPr>
                <w:rFonts w:hint="eastAsia" w:ascii="仿宋" w:hAnsi="仿宋" w:eastAsia="仿宋"/>
                <w:color w:val="000000" w:themeColor="text1"/>
                <w:sz w:val="24"/>
                <w:szCs w:val="24"/>
                <w14:textFill>
                  <w14:solidFill>
                    <w14:schemeClr w14:val="tx1"/>
                  </w14:solidFill>
                </w14:textFill>
              </w:rPr>
              <w:t>。</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4</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推动现代信息技术与教育教学深度融合，立项建设100门省级职业教育在线精品课程和5</w:t>
            </w:r>
            <w:r>
              <w:rPr>
                <w:rFonts w:ascii="仿宋" w:hAnsi="仿宋" w:eastAsia="仿宋"/>
                <w:color w:val="000000" w:themeColor="text1"/>
                <w:sz w:val="24"/>
                <w:szCs w:val="24"/>
                <w14:textFill>
                  <w14:solidFill>
                    <w14:schemeClr w14:val="tx1"/>
                  </w14:solidFill>
                </w14:textFill>
              </w:rPr>
              <w:t>0个</w:t>
            </w:r>
            <w:r>
              <w:rPr>
                <w:rFonts w:hint="eastAsia" w:ascii="仿宋" w:hAnsi="仿宋" w:eastAsia="仿宋"/>
                <w:color w:val="000000" w:themeColor="text1"/>
                <w:sz w:val="24"/>
                <w:szCs w:val="24"/>
                <w14:textFill>
                  <w14:solidFill>
                    <w14:schemeClr w14:val="tx1"/>
                  </w14:solidFill>
                </w14:textFill>
              </w:rPr>
              <w:t>专业教学资源库。</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5</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遴选</w:t>
            </w:r>
            <w:r>
              <w:rPr>
                <w:rFonts w:ascii="仿宋" w:hAnsi="仿宋" w:eastAsia="仿宋"/>
                <w:color w:val="000000" w:themeColor="text1"/>
                <w:sz w:val="24"/>
                <w:szCs w:val="24"/>
                <w14:textFill>
                  <w14:solidFill>
                    <w14:schemeClr w14:val="tx1"/>
                  </w14:solidFill>
                </w14:textFill>
              </w:rPr>
              <w:t>100</w:t>
            </w:r>
            <w:r>
              <w:rPr>
                <w:rFonts w:hint="eastAsia" w:ascii="仿宋" w:hAnsi="仿宋" w:eastAsia="仿宋"/>
                <w:color w:val="000000" w:themeColor="text1"/>
                <w:sz w:val="24"/>
                <w:szCs w:val="24"/>
                <w14:textFill>
                  <w14:solidFill>
                    <w14:schemeClr w14:val="tx1"/>
                  </w14:solidFill>
                </w14:textFill>
              </w:rPr>
              <w:t>个“课堂革命”省级典型案例。</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6</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聚焦吉林汽车、现代农业、冰雪旅游等重点产业领域需求建设校企“双元”合作开发的</w:t>
            </w:r>
            <w:r>
              <w:rPr>
                <w:rFonts w:hint="eastAsia" w:ascii="仿宋" w:hAnsi="仿宋" w:eastAsia="仿宋"/>
                <w:color w:val="000000" w:themeColor="text1"/>
                <w:sz w:val="24"/>
                <w:szCs w:val="24"/>
                <w14:textFill>
                  <w14:solidFill>
                    <w14:schemeClr w14:val="tx1"/>
                  </w14:solidFill>
                </w14:textFill>
              </w:rPr>
              <w:t>省级</w:t>
            </w:r>
            <w:r>
              <w:rPr>
                <w:rFonts w:ascii="仿宋" w:hAnsi="仿宋" w:eastAsia="仿宋"/>
                <w:color w:val="000000" w:themeColor="text1"/>
                <w:sz w:val="24"/>
                <w:szCs w:val="24"/>
                <w14:textFill>
                  <w14:solidFill>
                    <w14:schemeClr w14:val="tx1"/>
                  </w14:solidFill>
                </w14:textFill>
              </w:rPr>
              <w:t>规划教材。</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7</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深入实施职业技能等级证书制度，</w:t>
            </w:r>
            <w:r>
              <w:rPr>
                <w:rFonts w:ascii="仿宋" w:hAnsi="仿宋" w:eastAsia="仿宋"/>
                <w:color w:val="000000" w:themeColor="text1"/>
                <w:sz w:val="24"/>
                <w:szCs w:val="24"/>
                <w14:textFill>
                  <w14:solidFill>
                    <w14:schemeClr w14:val="tx1"/>
                  </w14:solidFill>
                </w14:textFill>
              </w:rPr>
              <w:t>推进</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X</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证书制度</w:t>
            </w:r>
            <w:r>
              <w:rPr>
                <w:rFonts w:hint="eastAsia" w:ascii="仿宋" w:hAnsi="仿宋" w:eastAsia="仿宋"/>
                <w:color w:val="000000" w:themeColor="text1"/>
                <w:sz w:val="24"/>
                <w:szCs w:val="24"/>
                <w14:textFill>
                  <w14:solidFill>
                    <w14:schemeClr w14:val="tx1"/>
                  </w14:solidFill>
                </w14:textFill>
              </w:rPr>
              <w:t>实施</w:t>
            </w:r>
            <w:r>
              <w:rPr>
                <w:rFonts w:ascii="仿宋" w:hAnsi="仿宋" w:eastAsia="仿宋"/>
                <w:color w:val="000000" w:themeColor="text1"/>
                <w:sz w:val="24"/>
                <w:szCs w:val="24"/>
                <w14:textFill>
                  <w14:solidFill>
                    <w14:schemeClr w14:val="tx1"/>
                  </w14:solidFill>
                </w14:textFill>
              </w:rPr>
              <w:t>。</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8</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举办全省职业院校技能大赛。</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9</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实施职业院校教师素质提升计划。</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0</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实行“固定岗+流动岗”的教师管理制度，</w:t>
            </w:r>
            <w:r>
              <w:rPr>
                <w:rFonts w:ascii="仿宋" w:hAnsi="仿宋" w:eastAsia="仿宋"/>
                <w:color w:val="000000" w:themeColor="text1"/>
                <w:sz w:val="24"/>
                <w:szCs w:val="24"/>
                <w14:textFill>
                  <w14:solidFill>
                    <w14:schemeClr w14:val="tx1"/>
                  </w14:solidFill>
                </w14:textFill>
              </w:rPr>
              <w:t>制定完善师资</w:t>
            </w:r>
            <w:r>
              <w:rPr>
                <w:rFonts w:hint="eastAsia" w:ascii="仿宋" w:hAnsi="仿宋" w:eastAsia="仿宋"/>
                <w:color w:val="000000" w:themeColor="text1"/>
                <w:sz w:val="24"/>
                <w:szCs w:val="24"/>
                <w14:textFill>
                  <w14:solidFill>
                    <w14:schemeClr w14:val="tx1"/>
                  </w14:solidFill>
                </w14:textFill>
              </w:rPr>
              <w:t>校企</w:t>
            </w:r>
            <w:r>
              <w:rPr>
                <w:rFonts w:ascii="仿宋" w:hAnsi="仿宋" w:eastAsia="仿宋"/>
                <w:color w:val="000000" w:themeColor="text1"/>
                <w:sz w:val="24"/>
                <w:szCs w:val="24"/>
                <w14:textFill>
                  <w14:solidFill>
                    <w14:schemeClr w14:val="tx1"/>
                  </w14:solidFill>
                </w14:textFill>
              </w:rPr>
              <w:t>双向流动、兼职兼薪办法</w:t>
            </w:r>
            <w:r>
              <w:rPr>
                <w:rFonts w:hint="eastAsia" w:ascii="仿宋" w:hAnsi="仿宋" w:eastAsia="仿宋"/>
                <w:color w:val="000000" w:themeColor="text1"/>
                <w:sz w:val="24"/>
                <w:szCs w:val="24"/>
                <w14:textFill>
                  <w14:solidFill>
                    <w14:schemeClr w14:val="tx1"/>
                  </w14:solidFill>
                </w14:textFill>
              </w:rPr>
              <w:t>。</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1</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校企共建</w:t>
            </w:r>
            <w:r>
              <w:rPr>
                <w:rFonts w:ascii="仿宋" w:hAnsi="仿宋" w:eastAsia="仿宋"/>
                <w:color w:val="000000" w:themeColor="text1"/>
                <w:sz w:val="24"/>
                <w:szCs w:val="24"/>
                <w14:textFill>
                  <w14:solidFill>
                    <w14:schemeClr w14:val="tx1"/>
                  </w14:solidFill>
                </w14:textFill>
              </w:rPr>
              <w:t>10</w:t>
            </w:r>
            <w:r>
              <w:rPr>
                <w:rFonts w:hint="eastAsia" w:ascii="仿宋" w:hAnsi="仿宋" w:eastAsia="仿宋"/>
                <w:color w:val="000000" w:themeColor="text1"/>
                <w:sz w:val="24"/>
                <w:szCs w:val="24"/>
                <w14:textFill>
                  <w14:solidFill>
                    <w14:schemeClr w14:val="tx1"/>
                  </w14:solidFill>
                </w14:textFill>
              </w:rPr>
              <w:t>个左右面向全省的“双师型”教师培养培训基地。</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2</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将承担职业培训情况作为核定职业学校教师绩效工资总量的重要依据。教师依法取得的科技成果转化奖励，不纳入单位工资总额基数。职业院校对外开展技术开发、转让、咨询等服务取得的收入，可按一定比例作为绩效工资来源。</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3</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实施省“双特色”项目，建设5</w:t>
            </w:r>
            <w:r>
              <w:rPr>
                <w:rFonts w:ascii="仿宋" w:hAnsi="仿宋" w:eastAsia="仿宋"/>
                <w:color w:val="000000" w:themeColor="text1"/>
                <w:sz w:val="24"/>
                <w:szCs w:val="24"/>
                <w14:textFill>
                  <w14:solidFill>
                    <w14:schemeClr w14:val="tx1"/>
                  </w14:solidFill>
                </w14:textFill>
              </w:rPr>
              <w:t>3所</w:t>
            </w:r>
            <w:r>
              <w:rPr>
                <w:rFonts w:hint="eastAsia" w:ascii="仿宋" w:hAnsi="仿宋" w:eastAsia="仿宋"/>
                <w:color w:val="000000" w:themeColor="text1"/>
                <w:sz w:val="24"/>
                <w:szCs w:val="24"/>
                <w14:textFill>
                  <w14:solidFill>
                    <w14:schemeClr w14:val="tx1"/>
                  </w14:solidFill>
                </w14:textFill>
              </w:rPr>
              <w:t>特色高水平职业学校、1</w:t>
            </w:r>
            <w:r>
              <w:rPr>
                <w:rFonts w:ascii="仿宋" w:hAnsi="仿宋" w:eastAsia="仿宋"/>
                <w:color w:val="000000" w:themeColor="text1"/>
                <w:sz w:val="24"/>
                <w:szCs w:val="24"/>
                <w14:textFill>
                  <w14:solidFill>
                    <w14:schemeClr w14:val="tx1"/>
                  </w14:solidFill>
                </w14:textFill>
              </w:rPr>
              <w:t>0所</w:t>
            </w:r>
            <w:r>
              <w:rPr>
                <w:rFonts w:hint="eastAsia" w:ascii="仿宋" w:hAnsi="仿宋" w:eastAsia="仿宋"/>
                <w:color w:val="000000" w:themeColor="text1"/>
                <w:sz w:val="24"/>
                <w:szCs w:val="24"/>
                <w14:textFill>
                  <w14:solidFill>
                    <w14:schemeClr w14:val="tx1"/>
                  </w14:solidFill>
                </w14:textFill>
              </w:rPr>
              <w:t>示范性县级职教中心和一批特色高水平专业群。</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财政厅、各级地方政府、有关院校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4</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完善中国职业教育博物馆建设，打造四史教育、职教理论研究、职教文化开发与传播高地。</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文化</w:t>
            </w:r>
            <w:r>
              <w:rPr>
                <w:rFonts w:hint="eastAsia" w:ascii="仿宋" w:hAnsi="仿宋" w:eastAsia="仿宋"/>
                <w:color w:val="000000" w:themeColor="text1"/>
                <w:sz w:val="24"/>
                <w:szCs w:val="24"/>
                <w:lang w:eastAsia="zh-CN"/>
                <w14:textFill>
                  <w14:solidFill>
                    <w14:schemeClr w14:val="tx1"/>
                  </w14:solidFill>
                </w14:textFill>
              </w:rPr>
              <w:t>与旅游</w:t>
            </w:r>
            <w:r>
              <w:rPr>
                <w:rFonts w:hint="eastAsia" w:ascii="仿宋" w:hAnsi="仿宋" w:eastAsia="仿宋"/>
                <w:color w:val="000000" w:themeColor="text1"/>
                <w:sz w:val="24"/>
                <w:szCs w:val="24"/>
                <w14:textFill>
                  <w14:solidFill>
                    <w14:schemeClr w14:val="tx1"/>
                  </w14:solidFill>
                </w14:textFill>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5</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启动</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大国</w:t>
            </w:r>
            <w:r>
              <w:rPr>
                <w:rFonts w:ascii="仿宋" w:hAnsi="仿宋" w:eastAsia="仿宋"/>
                <w:color w:val="000000" w:themeColor="text1"/>
                <w:sz w:val="24"/>
                <w:szCs w:val="24"/>
                <w14:textFill>
                  <w14:solidFill>
                    <w14:schemeClr w14:val="tx1"/>
                  </w14:solidFill>
                </w14:textFill>
              </w:rPr>
              <w:t>工匠成长计划”</w:t>
            </w:r>
            <w:r>
              <w:rPr>
                <w:rFonts w:hint="eastAsia" w:ascii="仿宋" w:hAnsi="仿宋" w:eastAsia="仿宋"/>
                <w:color w:val="000000" w:themeColor="text1"/>
                <w:sz w:val="24"/>
                <w:szCs w:val="24"/>
                <w14:textFill>
                  <w14:solidFill>
                    <w14:schemeClr w14:val="tx1"/>
                  </w14:solidFill>
                </w14:textFill>
              </w:rPr>
              <w:t>，鼓励一汽集团、中车集团、吉化集团等企业与职业院校合作，共建</w:t>
            </w:r>
            <w:r>
              <w:rPr>
                <w:rFonts w:ascii="仿宋" w:hAnsi="仿宋" w:eastAsia="仿宋"/>
                <w:color w:val="000000" w:themeColor="text1"/>
                <w:sz w:val="24"/>
                <w:szCs w:val="24"/>
                <w14:textFill>
                  <w14:solidFill>
                    <w14:schemeClr w14:val="tx1"/>
                  </w14:solidFill>
                </w14:textFill>
              </w:rPr>
              <w:t>50</w:t>
            </w:r>
            <w:r>
              <w:rPr>
                <w:rFonts w:hint="eastAsia" w:ascii="仿宋" w:hAnsi="仿宋" w:eastAsia="仿宋"/>
                <w:color w:val="000000" w:themeColor="text1"/>
                <w:sz w:val="24"/>
                <w:szCs w:val="24"/>
                <w14:textFill>
                  <w14:solidFill>
                    <w14:schemeClr w14:val="tx1"/>
                  </w14:solidFill>
                </w14:textFill>
              </w:rPr>
              <w:t>个“吉林工匠学徒班”。</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省发展改革委</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工信</w:t>
            </w:r>
            <w:r>
              <w:rPr>
                <w:rFonts w:hint="eastAsia" w:ascii="仿宋" w:hAnsi="仿宋" w:eastAsia="仿宋"/>
                <w:color w:val="000000" w:themeColor="text1"/>
                <w:sz w:val="24"/>
                <w:szCs w:val="24"/>
                <w:lang w:eastAsia="zh-CN"/>
                <w14:textFill>
                  <w14:solidFill>
                    <w14:schemeClr w14:val="tx1"/>
                  </w14:solidFill>
                </w14:textFill>
              </w:rPr>
              <w:t>与信息化</w:t>
            </w:r>
            <w:r>
              <w:rPr>
                <w:rFonts w:hint="eastAsia" w:ascii="仿宋" w:hAnsi="仿宋" w:eastAsia="仿宋"/>
                <w:color w:val="000000" w:themeColor="text1"/>
                <w:sz w:val="24"/>
                <w:szCs w:val="24"/>
                <w14:textFill>
                  <w14:solidFill>
                    <w14:schemeClr w14:val="tx1"/>
                  </w14:solidFill>
                </w14:textFill>
              </w:rPr>
              <w:t>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6</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建设</w:t>
            </w:r>
            <w:r>
              <w:rPr>
                <w:rFonts w:ascii="仿宋" w:hAnsi="仿宋" w:eastAsia="仿宋"/>
                <w:color w:val="000000" w:themeColor="text1"/>
                <w:sz w:val="24"/>
                <w:szCs w:val="24"/>
                <w14:textFill>
                  <w14:solidFill>
                    <w14:schemeClr w14:val="tx1"/>
                  </w14:solidFill>
                </w14:textFill>
              </w:rPr>
              <w:t>10</w:t>
            </w:r>
            <w:r>
              <w:rPr>
                <w:rFonts w:hint="eastAsia" w:ascii="仿宋" w:hAnsi="仿宋" w:eastAsia="仿宋"/>
                <w:color w:val="000000" w:themeColor="text1"/>
                <w:sz w:val="24"/>
                <w:szCs w:val="24"/>
                <w14:textFill>
                  <w14:solidFill>
                    <w14:schemeClr w14:val="tx1"/>
                  </w14:solidFill>
                </w14:textFill>
              </w:rPr>
              <w:t>0个技能大师工作站。</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7</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建设20个与产业紧密对接、实体化运作的示范性职教集团。建设5</w:t>
            </w:r>
            <w:r>
              <w:rPr>
                <w:rFonts w:ascii="仿宋" w:hAnsi="仿宋" w:eastAsia="仿宋"/>
                <w:color w:val="000000" w:themeColor="text1"/>
                <w:sz w:val="24"/>
                <w:szCs w:val="24"/>
                <w14:textFill>
                  <w14:solidFill>
                    <w14:schemeClr w14:val="tx1"/>
                  </w14:solidFill>
                </w14:textFill>
              </w:rPr>
              <w:t>0个</w:t>
            </w:r>
            <w:r>
              <w:rPr>
                <w:rFonts w:hint="eastAsia" w:ascii="仿宋" w:hAnsi="仿宋" w:eastAsia="仿宋"/>
                <w:color w:val="000000" w:themeColor="text1"/>
                <w:sz w:val="24"/>
                <w:szCs w:val="24"/>
                <w14:textFill>
                  <w14:solidFill>
                    <w14:schemeClr w14:val="tx1"/>
                  </w14:solidFill>
                </w14:textFill>
              </w:rPr>
              <w:t>产教深度融合的示范性现代产业学院。</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省发展改革</w:t>
            </w:r>
            <w:r>
              <w:rPr>
                <w:rFonts w:hint="eastAsia" w:ascii="仿宋" w:hAnsi="仿宋" w:eastAsia="仿宋"/>
                <w:color w:val="000000" w:themeColor="text1"/>
                <w:sz w:val="24"/>
                <w:szCs w:val="24"/>
                <w14:textFill>
                  <w14:solidFill>
                    <w14:schemeClr w14:val="tx1"/>
                  </w14:solidFill>
                </w14:textFill>
              </w:rPr>
              <w:t>委、</w:t>
            </w:r>
            <w:r>
              <w:rPr>
                <w:rFonts w:hint="eastAsia" w:ascii="仿宋" w:hAnsi="仿宋" w:eastAsia="仿宋"/>
                <w:color w:val="000000" w:themeColor="text1"/>
                <w:sz w:val="24"/>
                <w:szCs w:val="24"/>
                <w:lang w:eastAsia="zh-CN"/>
                <w14:textFill>
                  <w14:solidFill>
                    <w14:schemeClr w14:val="tx1"/>
                  </w14:solidFill>
                </w14:textFill>
              </w:rPr>
              <w:t>省工业与信息化</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国资委、有关院校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8</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培育示范性产教融合企业。</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w:t>
            </w:r>
            <w:r>
              <w:rPr>
                <w:rFonts w:hint="eastAsia" w:ascii="仿宋" w:hAnsi="仿宋" w:eastAsia="仿宋"/>
                <w:color w:val="000000" w:themeColor="text1"/>
                <w:sz w:val="24"/>
                <w:szCs w:val="24"/>
                <w:lang w:eastAsia="zh-CN"/>
                <w14:textFill>
                  <w14:solidFill>
                    <w14:schemeClr w14:val="tx1"/>
                  </w14:solidFill>
                </w14:textFill>
              </w:rPr>
              <w:t>发展改革</w:t>
            </w:r>
            <w:r>
              <w:rPr>
                <w:rFonts w:hint="eastAsia" w:ascii="仿宋" w:hAnsi="仿宋" w:eastAsia="仿宋"/>
                <w:color w:val="000000" w:themeColor="text1"/>
                <w:sz w:val="24"/>
                <w:szCs w:val="24"/>
                <w14:textFill>
                  <w14:solidFill>
                    <w14:schemeClr w14:val="tx1"/>
                  </w14:solidFill>
                </w14:textFill>
              </w:rPr>
              <w:t>委、</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教育厅</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eastAsia="zh-CN"/>
                <w14:textFill>
                  <w14:solidFill>
                    <w14:schemeClr w14:val="tx1"/>
                  </w14:solidFill>
                </w14:textFill>
              </w:rPr>
              <w:t>省工业与信息化</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9</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开展吉林省农民工学历与能力提升行动计划</w:t>
            </w:r>
            <w:r>
              <w:rPr>
                <w:rFonts w:ascii="仿宋" w:hAnsi="仿宋" w:eastAsia="仿宋"/>
                <w:color w:val="000000" w:themeColor="text1"/>
                <w:sz w:val="24"/>
                <w:szCs w:val="24"/>
                <w14:textFill>
                  <w14:solidFill>
                    <w14:schemeClr w14:val="tx1"/>
                  </w14:solidFill>
                </w14:textFill>
              </w:rPr>
              <w:t>——“求学圆梦</w:t>
            </w:r>
            <w:r>
              <w:rPr>
                <w:rFonts w:hint="eastAsia" w:ascii="仿宋" w:hAnsi="仿宋" w:eastAsia="仿宋"/>
                <w:color w:val="000000" w:themeColor="text1"/>
                <w:sz w:val="24"/>
                <w:szCs w:val="24"/>
                <w14:textFill>
                  <w14:solidFill>
                    <w14:schemeClr w14:val="tx1"/>
                  </w14:solidFill>
                </w14:textFill>
              </w:rPr>
              <w:t>行</w:t>
            </w:r>
            <w:r>
              <w:rPr>
                <w:rFonts w:ascii="仿宋" w:hAnsi="仿宋" w:eastAsia="仿宋"/>
                <w:color w:val="000000" w:themeColor="text1"/>
                <w:sz w:val="24"/>
                <w:szCs w:val="24"/>
                <w14:textFill>
                  <w14:solidFill>
                    <w14:schemeClr w14:val="tx1"/>
                  </w14:solidFill>
                </w14:textFill>
              </w:rPr>
              <w:t>动”</w:t>
            </w:r>
            <w:r>
              <w:rPr>
                <w:rFonts w:hint="eastAsia" w:ascii="仿宋" w:hAnsi="仿宋" w:eastAsia="仿宋"/>
                <w:color w:val="000000" w:themeColor="text1"/>
                <w:sz w:val="24"/>
                <w:szCs w:val="24"/>
                <w14:textFill>
                  <w14:solidFill>
                    <w14:schemeClr w14:val="tx1"/>
                  </w14:solidFill>
                </w14:textFill>
              </w:rPr>
              <w:t>。</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w:t>
            </w:r>
            <w:r>
              <w:rPr>
                <w:rFonts w:ascii="仿宋" w:hAnsi="仿宋" w:eastAsia="仿宋"/>
                <w:color w:val="000000" w:themeColor="text1"/>
                <w:sz w:val="24"/>
                <w:szCs w:val="24"/>
                <w14:textFill>
                  <w14:solidFill>
                    <w14:schemeClr w14:val="tx1"/>
                  </w14:solidFill>
                </w14:textFill>
              </w:rPr>
              <w:t>总工会、有关院校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0</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围绕产业转型升级调整优化专业结构。</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1</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推动长春职教园区与文化产业相融合打造文化高地特色品牌、吉林职教园区与国家通用航空产业综合示范区“双区一体化”发展模式、辽源职教园区创新“市场引导、政府统筹、企业运营、多元参与”办学模式和四平职教园区融入“长平一体化”建设。</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相关地方政府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2</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支持职业院校与企业共建一批技术技能协同创新中心、工程（技术）研究中心等技术技能创新服务平台，加快科研成果应用转化。</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科技厅、</w:t>
            </w:r>
            <w:r>
              <w:rPr>
                <w:rFonts w:hint="eastAsia" w:ascii="仿宋" w:hAnsi="仿宋" w:eastAsia="仿宋"/>
                <w:color w:val="000000" w:themeColor="text1"/>
                <w:sz w:val="24"/>
                <w:szCs w:val="24"/>
                <w:lang w:eastAsia="zh-CN"/>
                <w14:textFill>
                  <w14:solidFill>
                    <w14:schemeClr w14:val="tx1"/>
                  </w14:solidFill>
                </w14:textFill>
              </w:rPr>
              <w:t>省发展改革</w:t>
            </w:r>
            <w:r>
              <w:rPr>
                <w:rFonts w:hint="eastAsia" w:ascii="仿宋" w:hAnsi="仿宋" w:eastAsia="仿宋"/>
                <w:color w:val="000000" w:themeColor="text1"/>
                <w:sz w:val="24"/>
                <w:szCs w:val="24"/>
                <w14:textFill>
                  <w14:solidFill>
                    <w14:schemeClr w14:val="tx1"/>
                  </w14:solidFill>
                </w14:textFill>
              </w:rPr>
              <w:t>委、</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3</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健全省市县三级职工技能提升培训平台，发挥全省精益工匠示范培训基地、职业技能竞赛示范集训基地作用。围绕重大工程项目和重点产业发展需求</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开展全省职工劳动和技能竞赛。</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w:t>
            </w:r>
            <w:r>
              <w:rPr>
                <w:rFonts w:ascii="仿宋" w:hAnsi="仿宋" w:eastAsia="仿宋"/>
                <w:color w:val="000000" w:themeColor="text1"/>
                <w:sz w:val="24"/>
                <w:szCs w:val="24"/>
                <w14:textFill>
                  <w14:solidFill>
                    <w14:schemeClr w14:val="tx1"/>
                  </w14:solidFill>
                </w14:textFill>
              </w:rPr>
              <w:t>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4</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建设一批老年课堂示范校和一批示范课程。支持本科高校、职业院校面向当地居民举办社区学院，重点建设一批社区教育示范基地和优质网络课程。</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5</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遴选20个省级乡村振兴人才培养优质职业院校，</w:t>
            </w:r>
            <w:r>
              <w:rPr>
                <w:rFonts w:ascii="仿宋" w:hAnsi="仿宋" w:eastAsia="仿宋"/>
                <w:color w:val="000000" w:themeColor="text1"/>
                <w:sz w:val="24"/>
                <w:szCs w:val="24"/>
                <w14:textFill>
                  <w14:solidFill>
                    <w14:schemeClr w14:val="tx1"/>
                  </w14:solidFill>
                </w14:textFill>
              </w:rPr>
              <w:t>加强乡村振兴重点帮扶县职教中心建设</w:t>
            </w:r>
            <w:r>
              <w:rPr>
                <w:rFonts w:hint="eastAsia" w:ascii="仿宋" w:hAnsi="仿宋" w:eastAsia="仿宋"/>
                <w:color w:val="000000" w:themeColor="text1"/>
                <w:sz w:val="24"/>
                <w:szCs w:val="24"/>
                <w14:textFill>
                  <w14:solidFill>
                    <w14:schemeClr w14:val="tx1"/>
                  </w14:solidFill>
                </w14:textFill>
              </w:rPr>
              <w:t>；实施职业院校与县乡镇开展订单培养计划，每年定向培养输送毕业生1万人；</w:t>
            </w:r>
            <w:r>
              <w:rPr>
                <w:rFonts w:ascii="仿宋" w:hAnsi="仿宋" w:eastAsia="仿宋"/>
                <w:color w:val="000000" w:themeColor="text1"/>
                <w:sz w:val="24"/>
                <w:szCs w:val="24"/>
                <w14:textFill>
                  <w14:solidFill>
                    <w14:schemeClr w14:val="tx1"/>
                  </w14:solidFill>
                </w14:textFill>
              </w:rPr>
              <w:t>鼓励职业院校</w:t>
            </w:r>
            <w:r>
              <w:rPr>
                <w:rFonts w:hint="eastAsia" w:ascii="仿宋" w:hAnsi="仿宋" w:eastAsia="仿宋"/>
                <w:color w:val="000000" w:themeColor="text1"/>
                <w:sz w:val="24"/>
                <w:szCs w:val="24"/>
                <w14:textFill>
                  <w14:solidFill>
                    <w14:schemeClr w14:val="tx1"/>
                  </w14:solidFill>
                </w14:textFill>
              </w:rPr>
              <w:t>与乡镇共建乡村人才培训基地，每年培训各类乡村人才1.5万人次；鼓励涉农职业学校与当地政府、现代农业企业等合作，建设1</w:t>
            </w:r>
            <w:r>
              <w:rPr>
                <w:rFonts w:ascii="仿宋" w:hAnsi="仿宋" w:eastAsia="仿宋"/>
                <w:color w:val="000000" w:themeColor="text1"/>
                <w:sz w:val="24"/>
                <w:szCs w:val="24"/>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个生态农业职教示范园区和基地。</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农业农村厅、各级地方政府、有关院校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6</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开展“基层学历提升计划”和“一村一名大学生村医计划”。</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省委组织部、</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教育厅、</w:t>
            </w:r>
            <w:r>
              <w:rPr>
                <w:rFonts w:hint="eastAsia" w:ascii="仿宋" w:hAnsi="仿宋" w:eastAsia="仿宋"/>
                <w:color w:val="000000" w:themeColor="text1"/>
                <w:sz w:val="24"/>
                <w:szCs w:val="24"/>
                <w:lang w:eastAsia="zh-CN"/>
                <w14:textFill>
                  <w14:solidFill>
                    <w14:schemeClr w14:val="tx1"/>
                  </w14:solidFill>
                </w14:textFill>
              </w:rPr>
              <w:t>省卫生健康</w:t>
            </w:r>
            <w:r>
              <w:rPr>
                <w:rFonts w:hint="eastAsia" w:ascii="仿宋" w:hAnsi="仿宋" w:eastAsia="仿宋"/>
                <w:color w:val="000000" w:themeColor="text1"/>
                <w:sz w:val="24"/>
                <w:szCs w:val="24"/>
                <w14:textFill>
                  <w14:solidFill>
                    <w14:schemeClr w14:val="tx1"/>
                  </w14:solidFill>
                </w14:textFill>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7</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在职业院校建设100个数字经济电商直播基地。</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8</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加强与辽宁、黑龙江、内蒙古三省区的职业教育交流合作。</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9</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支持吉林职业教育“向北开放”，加快中韩</w:t>
            </w:r>
            <w:r>
              <w:rPr>
                <w:rFonts w:hint="eastAsia" w:ascii="仿宋" w:hAnsi="仿宋" w:eastAsia="仿宋"/>
                <w:color w:val="000000" w:themeColor="text1"/>
                <w:sz w:val="24"/>
                <w:szCs w:val="24"/>
                <w:lang w:eastAsia="zh-CN"/>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长春</w:t>
            </w:r>
            <w:r>
              <w:rPr>
                <w:rFonts w:hint="eastAsia" w:ascii="仿宋" w:hAnsi="仿宋" w:eastAsia="仿宋"/>
                <w:color w:val="000000" w:themeColor="text1"/>
                <w:sz w:val="24"/>
                <w:szCs w:val="24"/>
                <w:lang w:eastAsia="zh-CN"/>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国际合作示范区、</w:t>
            </w:r>
            <w:r>
              <w:rPr>
                <w:rFonts w:hint="eastAsia" w:ascii="仿宋" w:hAnsi="仿宋" w:eastAsia="仿宋"/>
                <w:color w:val="000000" w:themeColor="text1"/>
                <w:sz w:val="24"/>
                <w:szCs w:val="24"/>
                <w:lang w:eastAsia="zh-CN"/>
                <w14:textFill>
                  <w14:solidFill>
                    <w14:schemeClr w14:val="tx1"/>
                  </w14:solidFill>
                </w14:textFill>
              </w:rPr>
              <w:t>吉林</w:t>
            </w:r>
            <w:r>
              <w:rPr>
                <w:rFonts w:ascii="仿宋" w:hAnsi="仿宋" w:eastAsia="仿宋"/>
                <w:color w:val="000000" w:themeColor="text1"/>
                <w:sz w:val="24"/>
                <w:szCs w:val="24"/>
                <w14:textFill>
                  <w14:solidFill>
                    <w14:schemeClr w14:val="tx1"/>
                  </w14:solidFill>
                </w14:textFill>
              </w:rPr>
              <w:t>珲春</w:t>
            </w:r>
            <w:r>
              <w:rPr>
                <w:rFonts w:hint="eastAsia" w:ascii="仿宋" w:hAnsi="仿宋" w:eastAsia="仿宋"/>
                <w:color w:val="000000" w:themeColor="text1"/>
                <w:sz w:val="24"/>
                <w:szCs w:val="24"/>
                <w14:textFill>
                  <w14:solidFill>
                    <w14:schemeClr w14:val="tx1"/>
                  </w14:solidFill>
                </w14:textFill>
              </w:rPr>
              <w:t>海洋经济发展示范区</w:t>
            </w:r>
            <w:r>
              <w:rPr>
                <w:rFonts w:ascii="仿宋" w:hAnsi="仿宋" w:eastAsia="仿宋"/>
                <w:color w:val="000000" w:themeColor="text1"/>
                <w:sz w:val="24"/>
                <w:szCs w:val="24"/>
                <w14:textFill>
                  <w14:solidFill>
                    <w14:schemeClr w14:val="tx1"/>
                  </w14:solidFill>
                </w14:textFill>
              </w:rPr>
              <w:t>职业教育建设，</w:t>
            </w:r>
            <w:r>
              <w:rPr>
                <w:rFonts w:hint="eastAsia" w:ascii="仿宋" w:hAnsi="仿宋" w:eastAsia="仿宋"/>
                <w:color w:val="000000" w:themeColor="text1"/>
                <w:sz w:val="24"/>
                <w:szCs w:val="24"/>
                <w14:textFill>
                  <w14:solidFill>
                    <w14:schemeClr w14:val="tx1"/>
                  </w14:solidFill>
                </w14:textFill>
              </w:rPr>
              <w:t>支持优质职业院校在国外建设一批具有吉林特色的“鲁班工坊”。</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外办、有关院校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ascii="仿宋" w:hAnsi="仿宋" w:eastAsia="仿宋"/>
                <w:color w:val="000000" w:themeColor="text1"/>
                <w:sz w:val="24"/>
                <w:szCs w:val="24"/>
                <w14:textFill>
                  <w14:solidFill>
                    <w14:schemeClr w14:val="tx1"/>
                  </w14:solidFill>
                </w14:textFill>
              </w:rPr>
              <w:t>0</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将职业教育工作纳入地方经济社会发展考核。</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各级地方政府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ascii="仿宋" w:hAnsi="仿宋" w:eastAsia="仿宋"/>
                <w:color w:val="000000" w:themeColor="text1"/>
                <w:sz w:val="24"/>
                <w:szCs w:val="24"/>
                <w14:textFill>
                  <w14:solidFill>
                    <w14:schemeClr w14:val="tx1"/>
                  </w14:solidFill>
                </w14:textFill>
              </w:rPr>
              <w:t>1</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落实职业院校在内设机构、岗位设置、用人计划、教师招聘、职称评聘等方面的自主权。</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省委编办、</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ascii="仿宋" w:hAnsi="仿宋" w:eastAsia="仿宋"/>
                <w:color w:val="000000" w:themeColor="text1"/>
                <w:sz w:val="24"/>
                <w:szCs w:val="24"/>
                <w14:textFill>
                  <w14:solidFill>
                    <w14:schemeClr w14:val="tx1"/>
                  </w14:solidFill>
                </w14:textFill>
              </w:rPr>
              <w:t>2</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落实新增教育经费向职业教育倾斜的规定，探索建立“基本保障+发展专项+绩效奖励”的财政拨款制度，巩固</w:t>
            </w:r>
            <w:r>
              <w:rPr>
                <w:rFonts w:ascii="仿宋" w:hAnsi="仿宋" w:eastAsia="仿宋"/>
                <w:color w:val="000000" w:themeColor="text1"/>
                <w:sz w:val="24"/>
                <w:szCs w:val="24"/>
                <w14:textFill>
                  <w14:solidFill>
                    <w14:schemeClr w14:val="tx1"/>
                  </w14:solidFill>
                </w14:textFill>
              </w:rPr>
              <w:t>完善生均拨款制度和生均拨款</w:t>
            </w:r>
            <w:r>
              <w:rPr>
                <w:rFonts w:hint="eastAsia" w:ascii="仿宋" w:hAnsi="仿宋" w:eastAsia="仿宋"/>
                <w:color w:val="000000" w:themeColor="text1"/>
                <w:sz w:val="24"/>
                <w:szCs w:val="24"/>
                <w14:textFill>
                  <w14:solidFill>
                    <w14:schemeClr w14:val="tx1"/>
                  </w14:solidFill>
                </w14:textFill>
              </w:rPr>
              <w:t>标准</w:t>
            </w:r>
            <w:r>
              <w:rPr>
                <w:rFonts w:ascii="仿宋" w:hAnsi="仿宋" w:eastAsia="仿宋"/>
                <w:color w:val="000000" w:themeColor="text1"/>
                <w:sz w:val="24"/>
                <w:szCs w:val="24"/>
                <w14:textFill>
                  <w14:solidFill>
                    <w14:schemeClr w14:val="tx1"/>
                  </w14:solidFill>
                </w14:textFill>
              </w:rPr>
              <w:t>，并建立动态调整机制</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 xml:space="preserve"> </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ascii="仿宋" w:hAnsi="仿宋" w:eastAsia="仿宋"/>
                <w:color w:val="000000" w:themeColor="text1"/>
                <w:sz w:val="24"/>
                <w:szCs w:val="24"/>
                <w14:textFill>
                  <w14:solidFill>
                    <w14:schemeClr w14:val="tx1"/>
                  </w14:solidFill>
                </w14:textFill>
              </w:rPr>
              <w:t>3</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支持学校申报地方政府专项债券，加强基础设施建设。完善成本分担机制，动态调整学费标准。建立市</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州</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县</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市</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政府</w:t>
            </w:r>
            <w:r>
              <w:rPr>
                <w:rFonts w:ascii="仿宋" w:hAnsi="仿宋" w:eastAsia="仿宋"/>
                <w:color w:val="000000" w:themeColor="text1"/>
                <w:sz w:val="24"/>
                <w:szCs w:val="24"/>
                <w14:textFill>
                  <w14:solidFill>
                    <w14:schemeClr w14:val="tx1"/>
                  </w14:solidFill>
                </w14:textFill>
              </w:rPr>
              <w:t>职业教育</w:t>
            </w:r>
            <w:r>
              <w:rPr>
                <w:rFonts w:hint="eastAsia" w:ascii="仿宋" w:hAnsi="仿宋" w:eastAsia="仿宋"/>
                <w:color w:val="000000" w:themeColor="text1"/>
                <w:sz w:val="24"/>
                <w:szCs w:val="24"/>
                <w14:textFill>
                  <w14:solidFill>
                    <w14:schemeClr w14:val="tx1"/>
                  </w14:solidFill>
                </w14:textFill>
              </w:rPr>
              <w:t>经费</w:t>
            </w:r>
            <w:r>
              <w:rPr>
                <w:rFonts w:ascii="仿宋" w:hAnsi="仿宋" w:eastAsia="仿宋"/>
                <w:color w:val="000000" w:themeColor="text1"/>
                <w:sz w:val="24"/>
                <w:szCs w:val="24"/>
                <w14:textFill>
                  <w14:solidFill>
                    <w14:schemeClr w14:val="tx1"/>
                  </w14:solidFill>
                </w14:textFill>
              </w:rPr>
              <w:t>投入监督制度</w:t>
            </w:r>
            <w:r>
              <w:rPr>
                <w:rFonts w:hint="eastAsia" w:ascii="仿宋" w:hAnsi="仿宋" w:eastAsia="仿宋"/>
                <w:color w:val="000000" w:themeColor="text1"/>
                <w:sz w:val="24"/>
                <w:szCs w:val="24"/>
                <w14:textFill>
                  <w14:solidFill>
                    <w14:schemeClr w14:val="tx1"/>
                  </w14:solidFill>
                </w14:textFill>
              </w:rPr>
              <w:t>，将各地生均拨款标准落实情况与省级奖补资金、项目安排、招生计划下达相挂钩。完善职业院校学生实习责任保险制度。</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省财政厅、各级地方政府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ascii="仿宋" w:hAnsi="仿宋" w:eastAsia="仿宋"/>
                <w:color w:val="000000" w:themeColor="text1"/>
                <w:sz w:val="24"/>
                <w:szCs w:val="24"/>
                <w14:textFill>
                  <w14:solidFill>
                    <w14:schemeClr w14:val="tx1"/>
                  </w14:solidFill>
                </w14:textFill>
              </w:rPr>
              <w:t>4</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清理对职业教育人才的歧视性政策，落实职业学校毕业生在就业、落户、参加招聘、职称评审、晋升等方面与普通学校毕业生享受同等待遇的规定。</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ascii="仿宋" w:hAnsi="仿宋" w:eastAsia="仿宋"/>
                <w:color w:val="000000" w:themeColor="text1"/>
                <w:sz w:val="24"/>
                <w:szCs w:val="24"/>
                <w14:textFill>
                  <w14:solidFill>
                    <w14:schemeClr w14:val="tx1"/>
                  </w14:solidFill>
                </w14:textFill>
              </w:rPr>
              <w:t>5</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按照国家和</w:t>
            </w:r>
            <w:r>
              <w:rPr>
                <w:rFonts w:hint="eastAsia" w:ascii="仿宋" w:hAnsi="仿宋" w:eastAsia="仿宋"/>
                <w:color w:val="000000" w:themeColor="text1"/>
                <w:sz w:val="24"/>
                <w:szCs w:val="24"/>
                <w:lang w:eastAsia="zh-CN"/>
                <w14:textFill>
                  <w14:solidFill>
                    <w14:schemeClr w14:val="tx1"/>
                  </w14:solidFill>
                </w14:textFill>
              </w:rPr>
              <w:t>吉林</w:t>
            </w:r>
            <w:r>
              <w:rPr>
                <w:rFonts w:ascii="仿宋" w:hAnsi="仿宋" w:eastAsia="仿宋"/>
                <w:color w:val="000000" w:themeColor="text1"/>
                <w:sz w:val="24"/>
                <w:szCs w:val="24"/>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有关规定，将在职业教育工作中取得成绩的单位和个人、在有关领域</w:t>
            </w:r>
            <w:r>
              <w:rPr>
                <w:rFonts w:hint="eastAsia" w:ascii="仿宋" w:hAnsi="仿宋" w:eastAsia="仿宋"/>
                <w:color w:val="000000" w:themeColor="text1"/>
                <w:sz w:val="24"/>
                <w:szCs w:val="24"/>
                <w:lang w:eastAsia="zh-CN"/>
                <w14:textFill>
                  <w14:solidFill>
                    <w14:schemeClr w14:val="tx1"/>
                  </w14:solidFill>
                </w14:textFill>
              </w:rPr>
              <w:t>作</w:t>
            </w:r>
            <w:r>
              <w:rPr>
                <w:rFonts w:hint="eastAsia" w:ascii="仿宋" w:hAnsi="仿宋" w:eastAsia="仿宋"/>
                <w:color w:val="000000" w:themeColor="text1"/>
                <w:sz w:val="24"/>
                <w:szCs w:val="24"/>
                <w14:textFill>
                  <w14:solidFill>
                    <w14:schemeClr w14:val="tx1"/>
                  </w14:solidFill>
                </w14:textFill>
              </w:rPr>
              <w:t>出突出贡献的技术技能人才纳入</w:t>
            </w:r>
            <w:r>
              <w:rPr>
                <w:rFonts w:ascii="仿宋" w:hAnsi="仿宋" w:eastAsia="仿宋"/>
                <w:color w:val="000000" w:themeColor="text1"/>
                <w:sz w:val="24"/>
                <w:szCs w:val="24"/>
                <w14:textFill>
                  <w14:solidFill>
                    <w14:schemeClr w14:val="tx1"/>
                  </w14:solidFill>
                </w14:textFill>
              </w:rPr>
              <w:t>有关表彰奖励评选范围</w:t>
            </w:r>
            <w:r>
              <w:rPr>
                <w:rFonts w:hint="eastAsia" w:ascii="仿宋" w:hAnsi="仿宋" w:eastAsia="仿宋"/>
                <w:color w:val="000000" w:themeColor="text1"/>
                <w:sz w:val="24"/>
                <w:szCs w:val="24"/>
                <w14:textFill>
                  <w14:solidFill>
                    <w14:schemeClr w14:val="tx1"/>
                  </w14:solidFill>
                </w14:textFill>
              </w:rPr>
              <w:t>。</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将符合条件的高水平技术技能人才纳入高层</w:t>
            </w:r>
            <w:r>
              <w:rPr>
                <w:rFonts w:hint="eastAsia" w:ascii="仿宋" w:hAnsi="仿宋" w:eastAsia="仿宋"/>
                <w:color w:val="000000" w:themeColor="text1"/>
                <w:sz w:val="24"/>
                <w:szCs w:val="24"/>
                <w:lang w:eastAsia="zh-CN"/>
                <w14:textFill>
                  <w14:solidFill>
                    <w14:schemeClr w14:val="tx1"/>
                  </w14:solidFill>
                </w14:textFill>
              </w:rPr>
              <w:t>次</w:t>
            </w:r>
            <w:r>
              <w:rPr>
                <w:rFonts w:hint="eastAsia" w:ascii="仿宋" w:hAnsi="仿宋" w:eastAsia="仿宋"/>
                <w:color w:val="000000" w:themeColor="text1"/>
                <w:sz w:val="24"/>
                <w:szCs w:val="24"/>
                <w14:textFill>
                  <w14:solidFill>
                    <w14:schemeClr w14:val="tx1"/>
                  </w14:solidFill>
                </w14:textFill>
              </w:rPr>
              <w:t>人才计划。</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省委组织部、</w:t>
            </w: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47</w:t>
            </w:r>
          </w:p>
        </w:tc>
        <w:tc>
          <w:tcPr>
            <w:tcW w:w="6945"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加大技术技能人才薪酬激励，提高技术技能人才社会地位。</w:t>
            </w:r>
          </w:p>
        </w:tc>
        <w:tc>
          <w:tcPr>
            <w:tcW w:w="2410" w:type="dxa"/>
            <w:vAlign w:val="center"/>
          </w:tcPr>
          <w:p>
            <w:pPr>
              <w:spacing w:line="4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省人力资源与社会保障</w:t>
            </w:r>
            <w:r>
              <w:rPr>
                <w:rFonts w:hint="eastAsia" w:ascii="仿宋" w:hAnsi="仿宋" w:eastAsia="仿宋"/>
                <w:color w:val="000000" w:themeColor="text1"/>
                <w:sz w:val="24"/>
                <w:szCs w:val="24"/>
                <w14:textFill>
                  <w14:solidFill>
                    <w14:schemeClr w14:val="tx1"/>
                  </w14:solidFill>
                </w14:textFill>
              </w:rPr>
              <w:t>厅、</w:t>
            </w:r>
            <w:r>
              <w:rPr>
                <w:rFonts w:hint="eastAsia" w:ascii="仿宋" w:hAnsi="仿宋" w:eastAsia="仿宋"/>
                <w:color w:val="000000" w:themeColor="text1"/>
                <w:sz w:val="24"/>
                <w:szCs w:val="24"/>
                <w:lang w:eastAsia="zh-CN"/>
                <w14:textFill>
                  <w14:solidFill>
                    <w14:schemeClr w14:val="tx1"/>
                  </w14:solidFill>
                </w14:textFill>
              </w:rPr>
              <w:t>省</w:t>
            </w:r>
            <w:r>
              <w:rPr>
                <w:rFonts w:hint="eastAsia" w:ascii="仿宋" w:hAnsi="仿宋" w:eastAsia="仿宋"/>
                <w:color w:val="000000" w:themeColor="text1"/>
                <w:sz w:val="24"/>
                <w:szCs w:val="24"/>
                <w14:textFill>
                  <w14:solidFill>
                    <w14:schemeClr w14:val="tx1"/>
                  </w14:solidFill>
                </w14:textFill>
              </w:rPr>
              <w:t>财政厅</w:t>
            </w:r>
          </w:p>
        </w:tc>
      </w:tr>
    </w:tbl>
    <w:p>
      <w:pPr>
        <w:spacing w:line="500" w:lineRule="exact"/>
        <w:rPr>
          <w:color w:val="000000" w:themeColor="text1"/>
          <w:sz w:val="24"/>
          <w:szCs w:val="24"/>
          <w14:textFill>
            <w14:solidFill>
              <w14:schemeClr w14:val="tx1"/>
            </w14:solidFill>
          </w14:textFill>
        </w:rPr>
      </w:pPr>
    </w:p>
    <w:sectPr>
      <w:footerReference r:id="rId3" w:type="default"/>
      <w:pgSz w:w="11906" w:h="16838"/>
      <w:pgMar w:top="2098" w:right="1474" w:bottom="1985" w:left="1588" w:header="851" w:footer="992" w:gutter="0"/>
      <w:cols w:space="425"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511281"/>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76"/>
    <w:rsid w:val="000350C8"/>
    <w:rsid w:val="0005163E"/>
    <w:rsid w:val="00056E8B"/>
    <w:rsid w:val="000570D8"/>
    <w:rsid w:val="00061B94"/>
    <w:rsid w:val="00095C29"/>
    <w:rsid w:val="000B2786"/>
    <w:rsid w:val="000C547B"/>
    <w:rsid w:val="000D0377"/>
    <w:rsid w:val="000F4632"/>
    <w:rsid w:val="000F66C7"/>
    <w:rsid w:val="0010011B"/>
    <w:rsid w:val="00142864"/>
    <w:rsid w:val="00143A10"/>
    <w:rsid w:val="00154B08"/>
    <w:rsid w:val="0018070F"/>
    <w:rsid w:val="00180E81"/>
    <w:rsid w:val="00186FC4"/>
    <w:rsid w:val="001A07D9"/>
    <w:rsid w:val="001A5367"/>
    <w:rsid w:val="001B1022"/>
    <w:rsid w:val="001B61A6"/>
    <w:rsid w:val="001C5C83"/>
    <w:rsid w:val="001C6158"/>
    <w:rsid w:val="001D7737"/>
    <w:rsid w:val="001E40F4"/>
    <w:rsid w:val="001E5C48"/>
    <w:rsid w:val="001F72C5"/>
    <w:rsid w:val="00203BD4"/>
    <w:rsid w:val="00205AC9"/>
    <w:rsid w:val="002240FE"/>
    <w:rsid w:val="002306E8"/>
    <w:rsid w:val="0023299D"/>
    <w:rsid w:val="0024751B"/>
    <w:rsid w:val="002531C7"/>
    <w:rsid w:val="002858B0"/>
    <w:rsid w:val="002D6A76"/>
    <w:rsid w:val="002F0862"/>
    <w:rsid w:val="003206FD"/>
    <w:rsid w:val="00327FD1"/>
    <w:rsid w:val="00342530"/>
    <w:rsid w:val="003465BF"/>
    <w:rsid w:val="003A2539"/>
    <w:rsid w:val="003B0918"/>
    <w:rsid w:val="003B596F"/>
    <w:rsid w:val="003B59B2"/>
    <w:rsid w:val="003C328B"/>
    <w:rsid w:val="003C54FE"/>
    <w:rsid w:val="003E3964"/>
    <w:rsid w:val="003E6FDE"/>
    <w:rsid w:val="003F7ADC"/>
    <w:rsid w:val="00420BE3"/>
    <w:rsid w:val="00435C8C"/>
    <w:rsid w:val="00447ADA"/>
    <w:rsid w:val="004633C1"/>
    <w:rsid w:val="004715F0"/>
    <w:rsid w:val="00477149"/>
    <w:rsid w:val="00480ACA"/>
    <w:rsid w:val="004845A4"/>
    <w:rsid w:val="004B43A6"/>
    <w:rsid w:val="004B712A"/>
    <w:rsid w:val="004C1F42"/>
    <w:rsid w:val="004E130A"/>
    <w:rsid w:val="004F01C2"/>
    <w:rsid w:val="004F6FB1"/>
    <w:rsid w:val="00510E68"/>
    <w:rsid w:val="00543D9A"/>
    <w:rsid w:val="00545A65"/>
    <w:rsid w:val="00545B4E"/>
    <w:rsid w:val="00546609"/>
    <w:rsid w:val="00561EB1"/>
    <w:rsid w:val="005637C4"/>
    <w:rsid w:val="00587AA9"/>
    <w:rsid w:val="005A35BB"/>
    <w:rsid w:val="005B665C"/>
    <w:rsid w:val="005B69C9"/>
    <w:rsid w:val="005B746E"/>
    <w:rsid w:val="005F6F48"/>
    <w:rsid w:val="00613532"/>
    <w:rsid w:val="00630232"/>
    <w:rsid w:val="00634A65"/>
    <w:rsid w:val="006376B5"/>
    <w:rsid w:val="00676994"/>
    <w:rsid w:val="006C0862"/>
    <w:rsid w:val="006C4805"/>
    <w:rsid w:val="006C69F9"/>
    <w:rsid w:val="006E0276"/>
    <w:rsid w:val="007005C7"/>
    <w:rsid w:val="00732A34"/>
    <w:rsid w:val="0075782F"/>
    <w:rsid w:val="007752A4"/>
    <w:rsid w:val="00791E4C"/>
    <w:rsid w:val="00792AB8"/>
    <w:rsid w:val="007A3004"/>
    <w:rsid w:val="007B66EF"/>
    <w:rsid w:val="007C4D7A"/>
    <w:rsid w:val="007E223F"/>
    <w:rsid w:val="007E3446"/>
    <w:rsid w:val="00815FAD"/>
    <w:rsid w:val="0082049E"/>
    <w:rsid w:val="00842343"/>
    <w:rsid w:val="00846023"/>
    <w:rsid w:val="00861CFA"/>
    <w:rsid w:val="008638AA"/>
    <w:rsid w:val="00864FF3"/>
    <w:rsid w:val="00871974"/>
    <w:rsid w:val="00885548"/>
    <w:rsid w:val="008C0752"/>
    <w:rsid w:val="008E19DD"/>
    <w:rsid w:val="00903A93"/>
    <w:rsid w:val="0092129C"/>
    <w:rsid w:val="00924A4B"/>
    <w:rsid w:val="0092698D"/>
    <w:rsid w:val="00931B81"/>
    <w:rsid w:val="009338F1"/>
    <w:rsid w:val="0094491E"/>
    <w:rsid w:val="009467CF"/>
    <w:rsid w:val="00952AF1"/>
    <w:rsid w:val="00955F07"/>
    <w:rsid w:val="009751FE"/>
    <w:rsid w:val="0098142D"/>
    <w:rsid w:val="00981A3D"/>
    <w:rsid w:val="009A17B3"/>
    <w:rsid w:val="009C48F6"/>
    <w:rsid w:val="009E7EE5"/>
    <w:rsid w:val="009F4F4B"/>
    <w:rsid w:val="00A00667"/>
    <w:rsid w:val="00A01AF5"/>
    <w:rsid w:val="00A10D98"/>
    <w:rsid w:val="00A20091"/>
    <w:rsid w:val="00A41265"/>
    <w:rsid w:val="00A82D78"/>
    <w:rsid w:val="00A93977"/>
    <w:rsid w:val="00AA64CC"/>
    <w:rsid w:val="00AB563C"/>
    <w:rsid w:val="00AC084F"/>
    <w:rsid w:val="00AC7BC7"/>
    <w:rsid w:val="00AE382D"/>
    <w:rsid w:val="00B23E30"/>
    <w:rsid w:val="00B30E31"/>
    <w:rsid w:val="00B3654C"/>
    <w:rsid w:val="00B658FC"/>
    <w:rsid w:val="00B74454"/>
    <w:rsid w:val="00B757B4"/>
    <w:rsid w:val="00BA5AA5"/>
    <w:rsid w:val="00BC7E09"/>
    <w:rsid w:val="00BF1B7C"/>
    <w:rsid w:val="00C14ED6"/>
    <w:rsid w:val="00C235CC"/>
    <w:rsid w:val="00C24900"/>
    <w:rsid w:val="00C3564A"/>
    <w:rsid w:val="00C86F2D"/>
    <w:rsid w:val="00CD2929"/>
    <w:rsid w:val="00CE6FD5"/>
    <w:rsid w:val="00D06111"/>
    <w:rsid w:val="00D24E1C"/>
    <w:rsid w:val="00D40A86"/>
    <w:rsid w:val="00D466BE"/>
    <w:rsid w:val="00DB0385"/>
    <w:rsid w:val="00DB139D"/>
    <w:rsid w:val="00DB3589"/>
    <w:rsid w:val="00DC529F"/>
    <w:rsid w:val="00DD14D2"/>
    <w:rsid w:val="00DD6060"/>
    <w:rsid w:val="00DD7E10"/>
    <w:rsid w:val="00E04038"/>
    <w:rsid w:val="00E4387C"/>
    <w:rsid w:val="00E727BE"/>
    <w:rsid w:val="00E8690E"/>
    <w:rsid w:val="00EA0D73"/>
    <w:rsid w:val="00F066DE"/>
    <w:rsid w:val="00F202D3"/>
    <w:rsid w:val="00F20AF2"/>
    <w:rsid w:val="00F260D4"/>
    <w:rsid w:val="00F34C7B"/>
    <w:rsid w:val="00F35F4B"/>
    <w:rsid w:val="00F45546"/>
    <w:rsid w:val="00F85338"/>
    <w:rsid w:val="00F903B5"/>
    <w:rsid w:val="00FA216A"/>
    <w:rsid w:val="00FB2977"/>
    <w:rsid w:val="00FB3909"/>
    <w:rsid w:val="00FC1150"/>
    <w:rsid w:val="00FD2B11"/>
    <w:rsid w:val="012F0427"/>
    <w:rsid w:val="014045F4"/>
    <w:rsid w:val="050775C3"/>
    <w:rsid w:val="09271777"/>
    <w:rsid w:val="0A965ADD"/>
    <w:rsid w:val="0EEB36A2"/>
    <w:rsid w:val="11B15080"/>
    <w:rsid w:val="1221397A"/>
    <w:rsid w:val="194064FB"/>
    <w:rsid w:val="1EBF4E6A"/>
    <w:rsid w:val="201A475F"/>
    <w:rsid w:val="202B7D26"/>
    <w:rsid w:val="20DD4EC2"/>
    <w:rsid w:val="25090C9D"/>
    <w:rsid w:val="25593FFC"/>
    <w:rsid w:val="283C133A"/>
    <w:rsid w:val="289B166E"/>
    <w:rsid w:val="2AE34089"/>
    <w:rsid w:val="2F3C0C30"/>
    <w:rsid w:val="319654F7"/>
    <w:rsid w:val="3219297C"/>
    <w:rsid w:val="33770133"/>
    <w:rsid w:val="34C82E8B"/>
    <w:rsid w:val="35CB6F9E"/>
    <w:rsid w:val="35CF5FAD"/>
    <w:rsid w:val="3A49624D"/>
    <w:rsid w:val="3A9B5ACC"/>
    <w:rsid w:val="3BB16EA6"/>
    <w:rsid w:val="42DB08CC"/>
    <w:rsid w:val="45B966AD"/>
    <w:rsid w:val="45E44FBA"/>
    <w:rsid w:val="4731608C"/>
    <w:rsid w:val="48424714"/>
    <w:rsid w:val="49D8570E"/>
    <w:rsid w:val="4BFAD03C"/>
    <w:rsid w:val="51355803"/>
    <w:rsid w:val="5759448A"/>
    <w:rsid w:val="58501401"/>
    <w:rsid w:val="5BDD7A65"/>
    <w:rsid w:val="5E5872DC"/>
    <w:rsid w:val="5EB81C67"/>
    <w:rsid w:val="5FC734CB"/>
    <w:rsid w:val="607E74A0"/>
    <w:rsid w:val="61EA2A63"/>
    <w:rsid w:val="62BF1A3A"/>
    <w:rsid w:val="65A038F2"/>
    <w:rsid w:val="65F94EA6"/>
    <w:rsid w:val="69956AA8"/>
    <w:rsid w:val="6C4A1FA3"/>
    <w:rsid w:val="6CBC5E56"/>
    <w:rsid w:val="6E371AA9"/>
    <w:rsid w:val="6FBA1DBE"/>
    <w:rsid w:val="73B939DA"/>
    <w:rsid w:val="73CB0B4B"/>
    <w:rsid w:val="7B5F9A49"/>
    <w:rsid w:val="7BC633E1"/>
    <w:rsid w:val="7BFE6924"/>
    <w:rsid w:val="7D9F50A1"/>
    <w:rsid w:val="7DFFF141"/>
    <w:rsid w:val="7EFBEBEF"/>
    <w:rsid w:val="CDF7FF56"/>
    <w:rsid w:val="E7FAB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15</Pages>
  <Words>4907</Words>
  <Characters>4957</Characters>
  <Lines>183</Lines>
  <Paragraphs>33</Paragraphs>
  <TotalTime>6</TotalTime>
  <ScaleCrop>false</ScaleCrop>
  <LinksUpToDate>false</LinksUpToDate>
  <CharactersWithSpaces>9831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2021-09-04T13:46:00Z</dcterms:created>
  <dc:creator>Windows 用户</dc:creator>
  <cp:lastModifiedBy>admin</cp:lastModifiedBy>
  <cp:lastPrinted>2021-10-27T08:57:00Z</cp:lastPrinted>
  <dcterms:modified xsi:type="dcterms:W3CDTF">2022-01-05T07:36:32Z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F47580D457FF43658059071B7678AA57</vt:lpwstr>
  </property>
</Properties>
</file>